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DC27170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3E15F2">
        <w:rPr>
          <w:b/>
          <w:color w:val="FF0000"/>
        </w:rPr>
        <w:t>MAIO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73E3C64B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E15F2">
        <w:rPr>
          <w:color w:val="FF0000"/>
        </w:rPr>
        <w:t>MAI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 xml:space="preserve">a data de ativação é anterior </w:t>
      </w:r>
      <w:proofErr w:type="spellStart"/>
      <w:r>
        <w:t>a</w:t>
      </w:r>
      <w:proofErr w:type="spellEnd"/>
      <w:r>
        <w:t xml:space="preserve">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224E18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3E15F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3E15F2">
        <w:rPr>
          <w:color w:val="FF0000"/>
        </w:rPr>
        <w:t>MAI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3E15F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3E15F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1211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65</cp:revision>
  <dcterms:created xsi:type="dcterms:W3CDTF">2017-08-17T22:31:00Z</dcterms:created>
  <dcterms:modified xsi:type="dcterms:W3CDTF">2021-03-08T12:55:00Z</dcterms:modified>
</cp:coreProperties>
</file>